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Информация о результатах перевода, восстановления и отчисления</w:t>
      </w:r>
    </w:p>
    <w:p>
      <w:pPr>
        <w:pStyle w:val="Normal"/>
        <w:bidi w:val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Обучающиеся о результат</w:t>
      </w:r>
      <w:r>
        <w:rPr>
          <w:rFonts w:eastAsia="SimSun" w:cs="Mangal"/>
          <w:color w:val="auto"/>
          <w:kern w:val="2"/>
          <w:sz w:val="30"/>
          <w:szCs w:val="30"/>
          <w:lang w:val="ru-RU" w:eastAsia="zh-CN" w:bidi="hi-IN"/>
        </w:rPr>
        <w:t>ах</w:t>
      </w:r>
      <w:r>
        <w:rPr>
          <w:sz w:val="30"/>
          <w:szCs w:val="30"/>
          <w:lang w:val="ru-RU"/>
        </w:rPr>
        <w:t xml:space="preserve"> восстановлени</w:t>
      </w:r>
      <w:r>
        <w:rPr>
          <w:rFonts w:eastAsia="SimSun" w:cs="Mangal"/>
          <w:color w:val="auto"/>
          <w:kern w:val="2"/>
          <w:sz w:val="30"/>
          <w:szCs w:val="30"/>
          <w:lang w:val="ru-RU" w:eastAsia="zh-CN" w:bidi="hi-IN"/>
        </w:rPr>
        <w:t>й</w:t>
      </w:r>
      <w:r>
        <w:rPr>
          <w:sz w:val="30"/>
          <w:szCs w:val="30"/>
          <w:lang w:val="ru-RU"/>
        </w:rPr>
        <w:t xml:space="preserve"> и</w:t>
      </w:r>
      <w:r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ru-RU"/>
        </w:rPr>
        <w:t>или)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ru-RU"/>
        </w:rPr>
        <w:t>отчислени</w:t>
      </w:r>
      <w:r>
        <w:rPr>
          <w:rFonts w:eastAsia="SimSun" w:cs="Mangal"/>
          <w:color w:val="auto"/>
          <w:kern w:val="2"/>
          <w:sz w:val="30"/>
          <w:szCs w:val="30"/>
          <w:lang w:val="ru-RU" w:eastAsia="zh-CN" w:bidi="hi-IN"/>
        </w:rPr>
        <w:t>й</w:t>
      </w:r>
      <w:r>
        <w:rPr>
          <w:sz w:val="30"/>
          <w:szCs w:val="30"/>
          <w:lang w:val="ru-RU"/>
        </w:rPr>
        <w:t xml:space="preserve"> узнают лично при обращении в Институт.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rFonts w:eastAsia="Calibri" w:cs="Times New Roman" w:ascii="Times New Roman" w:hAnsi="Times New Roman"/>
          <w:sz w:val="30"/>
          <w:szCs w:val="30"/>
          <w:lang w:val="ru-RU"/>
        </w:rPr>
        <w:t xml:space="preserve">АНО ДПО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«ИРПК» перевод на вакантные места не осуществляет.</w:t>
      </w:r>
    </w:p>
    <w:sectPr>
      <w:headerReference w:type="default" r:id="rId2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pt;margin-top:318.4pt;width:481.7pt;height:77.35pt;mso-wrap-style:none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proftrening.com" trim="t" style="font-family:&quot;Liberation Sans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LibreOffice/7.0.4.2$Windows_X86_64 LibreOffice_project/dcf040e67528d9187c66b2379df5ea4407429775</Application>
  <AppVersion>15.0000</AppVersion>
  <Pages>1</Pages>
  <Words>29</Words>
  <Characters>192</Characters>
  <CharactersWithSpaces>220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2021-07-19T16:05:43Z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